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val="0"/>
          <w:bCs w:val="0"/>
          <w:sz w:val="32"/>
          <w:szCs w:val="40"/>
        </w:rPr>
      </w:pPr>
      <w:r>
        <w:rPr>
          <w:rFonts w:hint="eastAsia" w:ascii="宋体" w:hAnsi="宋体" w:eastAsia="宋体" w:cs="宋体"/>
          <w:b w:val="0"/>
          <w:bCs w:val="0"/>
          <w:i w:val="0"/>
          <w:iCs w:val="0"/>
          <w:caps w:val="0"/>
          <w:color w:val="000000"/>
          <w:spacing w:val="0"/>
          <w:sz w:val="40"/>
          <w:szCs w:val="40"/>
          <w:shd w:val="clear" w:fill="F4F6F8"/>
          <w:lang w:val="en-US" w:eastAsia="zh-CN"/>
        </w:rPr>
        <w:t>郓城县</w:t>
      </w:r>
      <w:r>
        <w:rPr>
          <w:rFonts w:hint="eastAsia" w:ascii="宋体" w:hAnsi="宋体" w:eastAsia="宋体" w:cs="宋体"/>
          <w:b w:val="0"/>
          <w:bCs w:val="0"/>
          <w:i w:val="0"/>
          <w:iCs w:val="0"/>
          <w:caps w:val="0"/>
          <w:color w:val="000000"/>
          <w:spacing w:val="0"/>
          <w:sz w:val="40"/>
          <w:szCs w:val="40"/>
          <w:shd w:val="clear" w:fill="F4F6F8"/>
        </w:rPr>
        <w:t>水利领域基层政务公开标准目录</w:t>
      </w:r>
      <w:bookmarkStart w:id="0" w:name="_GoBack"/>
      <w:bookmarkEnd w:id="0"/>
    </w:p>
    <w:p>
      <w:pPr>
        <w:keepNext w:val="0"/>
        <w:keepLines w:val="0"/>
        <w:widowControl/>
        <w:suppressLineNumbers w:val="0"/>
        <w:jc w:val="left"/>
      </w:pPr>
    </w:p>
    <w:p>
      <w:pPr>
        <w:keepNext w:val="0"/>
        <w:keepLines w:val="0"/>
        <w:widowControl/>
        <w:suppressLineNumbers w:val="0"/>
        <w:jc w:val="left"/>
      </w:pPr>
    </w:p>
    <w:tbl>
      <w:tblPr>
        <w:tblW w:w="14640"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Layout w:type="autofit"/>
        <w:tblCellMar>
          <w:top w:w="15" w:type="dxa"/>
          <w:left w:w="15" w:type="dxa"/>
          <w:bottom w:w="15" w:type="dxa"/>
          <w:right w:w="15" w:type="dxa"/>
        </w:tblCellMar>
      </w:tblPr>
      <w:tblGrid>
        <w:gridCol w:w="473"/>
        <w:gridCol w:w="961"/>
        <w:gridCol w:w="975"/>
        <w:gridCol w:w="2080"/>
        <w:gridCol w:w="1696"/>
        <w:gridCol w:w="1049"/>
        <w:gridCol w:w="1145"/>
        <w:gridCol w:w="3926"/>
        <w:gridCol w:w="594"/>
        <w:gridCol w:w="596"/>
        <w:gridCol w:w="606"/>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360" w:hRule="atLeast"/>
          <w:tblCellSpacing w:w="0" w:type="dxa"/>
        </w:trPr>
        <w:tc>
          <w:tcPr>
            <w:tcW w:w="433" w:type="dxa"/>
            <w:vMerge w:val="restart"/>
            <w:tcBorders>
              <w:top w:val="single" w:color="000000" w:sz="8" w:space="0"/>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序号</w:t>
            </w:r>
          </w:p>
        </w:tc>
        <w:tc>
          <w:tcPr>
            <w:tcW w:w="1896" w:type="dxa"/>
            <w:gridSpan w:val="2"/>
            <w:tcBorders>
              <w:top w:val="single" w:color="000000" w:sz="8" w:space="0"/>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公开事项</w:t>
            </w:r>
          </w:p>
        </w:tc>
        <w:tc>
          <w:tcPr>
            <w:tcW w:w="2157" w:type="dxa"/>
            <w:vMerge w:val="restart"/>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公开内容（要素）</w:t>
            </w:r>
          </w:p>
        </w:tc>
        <w:tc>
          <w:tcPr>
            <w:tcW w:w="1733" w:type="dxa"/>
            <w:vMerge w:val="restart"/>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公开依据</w:t>
            </w:r>
          </w:p>
        </w:tc>
        <w:tc>
          <w:tcPr>
            <w:tcW w:w="1075" w:type="dxa"/>
            <w:vMerge w:val="restart"/>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时限</w:t>
            </w:r>
          </w:p>
        </w:tc>
        <w:tc>
          <w:tcPr>
            <w:tcW w:w="1165" w:type="dxa"/>
            <w:vMerge w:val="restart"/>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主体</w:t>
            </w:r>
          </w:p>
        </w:tc>
        <w:tc>
          <w:tcPr>
            <w:tcW w:w="3906" w:type="dxa"/>
            <w:vMerge w:val="restart"/>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公开渠道和载体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（“□”表示可选项，由各地根据有关要求和实际情况确定）</w:t>
            </w:r>
          </w:p>
        </w:tc>
        <w:tc>
          <w:tcPr>
            <w:tcW w:w="1170" w:type="dxa"/>
            <w:gridSpan w:val="2"/>
            <w:tcBorders>
              <w:top w:val="single" w:color="000000" w:sz="8" w:space="0"/>
              <w:left w:val="nil"/>
              <w:bottom w:val="nil"/>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公开对象</w:t>
            </w:r>
          </w:p>
        </w:tc>
        <w:tc>
          <w:tcPr>
            <w:tcW w:w="1105" w:type="dxa"/>
            <w:gridSpan w:val="2"/>
            <w:tcBorders>
              <w:top w:val="single" w:color="000000" w:sz="8" w:space="0"/>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460" w:hRule="atLeast"/>
          <w:tblCellSpacing w:w="0" w:type="dxa"/>
        </w:trPr>
        <w:tc>
          <w:tcPr>
            <w:tcW w:w="433" w:type="dxa"/>
            <w:vMerge w:val="continue"/>
            <w:tcBorders>
              <w:top w:val="single" w:color="000000" w:sz="8" w:space="0"/>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rPr>
                <w:rFonts w:hint="eastAsia" w:ascii="微软雅黑" w:hAnsi="微软雅黑" w:eastAsia="微软雅黑" w:cs="微软雅黑"/>
                <w:i w:val="0"/>
                <w:iCs w:val="0"/>
                <w:caps w:val="0"/>
                <w:color w:val="000000"/>
                <w:spacing w:val="0"/>
                <w:sz w:val="16"/>
                <w:szCs w:val="16"/>
              </w:rPr>
            </w:pPr>
          </w:p>
        </w:tc>
        <w:tc>
          <w:tcPr>
            <w:tcW w:w="941"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一级事项</w:t>
            </w:r>
          </w:p>
        </w:tc>
        <w:tc>
          <w:tcPr>
            <w:tcW w:w="955"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二级事项</w:t>
            </w:r>
          </w:p>
        </w:tc>
        <w:tc>
          <w:tcPr>
            <w:tcW w:w="2157" w:type="dxa"/>
            <w:vMerge w:val="continue"/>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rPr>
                <w:rFonts w:hint="eastAsia" w:ascii="微软雅黑" w:hAnsi="微软雅黑" w:eastAsia="微软雅黑" w:cs="微软雅黑"/>
                <w:i w:val="0"/>
                <w:iCs w:val="0"/>
                <w:caps w:val="0"/>
                <w:color w:val="000000"/>
                <w:spacing w:val="0"/>
                <w:sz w:val="16"/>
                <w:szCs w:val="16"/>
              </w:rPr>
            </w:pPr>
          </w:p>
        </w:tc>
        <w:tc>
          <w:tcPr>
            <w:tcW w:w="1733" w:type="dxa"/>
            <w:vMerge w:val="continue"/>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rPr>
                <w:rFonts w:hint="eastAsia" w:ascii="微软雅黑" w:hAnsi="微软雅黑" w:eastAsia="微软雅黑" w:cs="微软雅黑"/>
                <w:i w:val="0"/>
                <w:iCs w:val="0"/>
                <w:caps w:val="0"/>
                <w:color w:val="000000"/>
                <w:spacing w:val="0"/>
                <w:sz w:val="16"/>
                <w:szCs w:val="16"/>
              </w:rPr>
            </w:pPr>
          </w:p>
        </w:tc>
        <w:tc>
          <w:tcPr>
            <w:tcW w:w="1075" w:type="dxa"/>
            <w:vMerge w:val="continue"/>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rPr>
                <w:rFonts w:hint="eastAsia" w:ascii="微软雅黑" w:hAnsi="微软雅黑" w:eastAsia="微软雅黑" w:cs="微软雅黑"/>
                <w:i w:val="0"/>
                <w:iCs w:val="0"/>
                <w:caps w:val="0"/>
                <w:color w:val="000000"/>
                <w:spacing w:val="0"/>
                <w:sz w:val="16"/>
                <w:szCs w:val="16"/>
              </w:rPr>
            </w:pPr>
          </w:p>
        </w:tc>
        <w:tc>
          <w:tcPr>
            <w:tcW w:w="1165" w:type="dxa"/>
            <w:vMerge w:val="continue"/>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rPr>
                <w:rFonts w:hint="eastAsia" w:ascii="微软雅黑" w:hAnsi="微软雅黑" w:eastAsia="微软雅黑" w:cs="微软雅黑"/>
                <w:i w:val="0"/>
                <w:iCs w:val="0"/>
                <w:caps w:val="0"/>
                <w:color w:val="000000"/>
                <w:spacing w:val="0"/>
                <w:sz w:val="16"/>
                <w:szCs w:val="16"/>
              </w:rPr>
            </w:pPr>
          </w:p>
        </w:tc>
        <w:tc>
          <w:tcPr>
            <w:tcW w:w="3906" w:type="dxa"/>
            <w:vMerge w:val="continue"/>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rPr>
                <w:rFonts w:hint="eastAsia" w:ascii="微软雅黑" w:hAnsi="微软雅黑" w:eastAsia="微软雅黑" w:cs="微软雅黑"/>
                <w:i w:val="0"/>
                <w:iCs w:val="0"/>
                <w:caps w:val="0"/>
                <w:color w:val="000000"/>
                <w:spacing w:val="0"/>
                <w:sz w:val="16"/>
                <w:szCs w:val="16"/>
              </w:rPr>
            </w:pP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全社会</w:t>
            </w:r>
          </w:p>
        </w:tc>
        <w:tc>
          <w:tcPr>
            <w:tcW w:w="586" w:type="dxa"/>
            <w:tcBorders>
              <w:top w:val="single" w:color="000000" w:sz="8" w:space="0"/>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特定群体</w:t>
            </w:r>
          </w:p>
        </w:tc>
        <w:tc>
          <w:tcPr>
            <w:tcW w:w="586" w:type="dxa"/>
            <w:tcBorders>
              <w:top w:val="single" w:color="000000" w:sz="8" w:space="0"/>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主动</w:t>
            </w:r>
          </w:p>
        </w:tc>
        <w:tc>
          <w:tcPr>
            <w:tcW w:w="519" w:type="dxa"/>
            <w:tcBorders>
              <w:top w:val="single" w:color="000000" w:sz="8" w:space="0"/>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148"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w:t>
            </w:r>
          </w:p>
        </w:tc>
        <w:tc>
          <w:tcPr>
            <w:tcW w:w="941"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公共服务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政策文件</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水利领域政策文件及相关解读</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32"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公共服务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重大决策预公开</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水利领域的重大决策，决策前向社会公开决策草案、决策依据，意见征集方式和期限</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《中华人民共和国政府信息公开条例》《重大行政决策程序暂行条例》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按进展情况及时公开</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3028"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3</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公共服务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回应关切</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对涉及到水利领域经济社会热点问题、群众广泛关注的热点、咨询的相关问题等进行回应</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及时回应</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郓城县人民政府水行政主管部门、流域管理机构及其他组织或企事业单位</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3178"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4</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公共服务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业务办理</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主要业务工作的办事依据、条件、程序、时限，办事时间、地点、部门、联系方式及相关办理结果</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行政许可的执法决定信息在执法决定作出之日起7个工作日内，其他信息形成或者变更之日起20个工作日内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郓城县人民政府水行政主管部门、流域管理机构及其他组织或企事业单位</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32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5</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公共服务</w:t>
            </w:r>
          </w:p>
        </w:tc>
        <w:tc>
          <w:tcPr>
            <w:tcW w:w="955"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水利规划</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本级本区域的水利领域专项规划、流域规划和区域规划</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《中华人民共和国水法》《中华人民共和国政府信息公开条例》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99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6</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公共服务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依法行政</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实施行政处罚、行政强制等事项的依据、条件、程序以及本行政机关认为具有一定社会影响的行政处罚决定</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《中华人民共和国政府信息公开条例》《国务院办公厅关于全面推行行政执法公示制度全过程记录制度重大执法决定法制审核制度的指导意见》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行政处罚的执法决定信息在执法决定作出之日起7个工作日内，其他信息形成或者变更之日起20个工作日内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郓城县人民政府水行政主管部门、流域管理机构及其他组织</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54"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7</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水资源管理与保护</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取用水</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重要饮用水水源地名录</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《国务院关于实行最严格水资源管理制度的意见》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8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8</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水资源管理与保护</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取用水</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审批机关认为涉及社会公共利益的取水听证，定期发放取水许可证的情况</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《取水许可和水资源费征收管理条例》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8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9</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水资源管理与保护</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地下水管理</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地下水状况调查评价成果，从事地下水节约、保护、利用活动单位和个人的诚信档案</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《地下水管理条例》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488"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10</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节约用水</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节约用水</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县域节水型社会达标建设情况，水效领跑者引领行动开展情况</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《中华人民共和国政府信息公开条例》《“十四五”节水型社会建设规划》《水利部关于印发县域节水型社会达标建设管理办法的通知》</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0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11</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水利工程建设</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水利工程建设</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水利工程建设项目的实施情况</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郓城县人民政府水行政主管部门、流域管理机构及其他组织</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32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12</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运行管理</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工程信息与运行安全</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水库（大坝）工程的工程简介、工程管理与保护范围及责任人，水闸工程和堤防工程的工程简介、工程管理与保护范围</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《中华人民共和国政府信息公开条例》《水利部关于开展河湖管理范围和水利工程管理与保护范围划定工作的通知》</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郓城县人民政府水行政主管部门、流域管理机构及其他组织</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0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13</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河湖管理</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河湖长制工作</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县、乡两级河湖长名录，河湖长姓名、职责、河湖概况、管护目标、监督电话</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《关于全面推行河长制的意见》《关于在湖泊实施湖长制的指导意见》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郓城县人民政府、河湖长制工作机构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8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14</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河湖管理</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水域岸线管理</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河湖管理范围</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《中华人民共和国长江保护法》《关于全面推行河长制的意见》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郓城县人民政府、河湖长制工作机构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16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15</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水土保持</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水土流失防治及监督管理</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水土流失重点预防区和重点治理区，崩塌、滑坡危险区和泥石流易发区的范围，禁止开垦的陡坡地的范围</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《中华人民共和国水土保持法》</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2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16</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农村水利水电</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农田水利工程</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大中型灌排工程等农田水利建设运营情况、年度实施计划、建设条件、补助标准信息</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《中华人民共和国政府信息公开条例》《农田水利条例》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郓城县人民政府及其水行政主管部门</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14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17</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农村水利水电</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农村供水工程</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千人以上供水单位责任人、供水服务电话</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《水利部关于建立农村饮水安全管理责任体系的通知》</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供水单位</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16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18</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农村水利水电</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农村水电工程</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小水电站生态需水监测数据，区域内绿色小水电示范电站名称及创建进展</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《水利部关于推进绿色小水电发展的指导意见》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320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14"/>
                <w:szCs w:val="14"/>
                <w:bdr w:val="none" w:color="auto" w:sz="0" w:space="0"/>
                <w:lang w:val="en-US" w:eastAsia="zh-CN" w:bidi="ar"/>
              </w:rPr>
              <w:t>19</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移民管理</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移民安置与后期扶持</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大中型水利水电工程征收的土地数量、土地种类和实物调查结果、补偿范围、补偿标准和金额以及安置方案等，大中型水利水电工程征地补偿和移民安置资金收支情况，水库移民安置情况，人口核定登记办法，新增大中型水库农村移民户核定登记情况</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《大中型水利水电工程征地补偿和移民安置条例》《新增大中型水库农村移民后期扶持人口核定登记办法》</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移民区和移民安置区县级人民政府、乡镇人民政府、村（居）民委员会</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38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20</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监督管理</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水利安全生产监督</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安全生产监督检查情况，举报电话、信箱或电子邮件地址等网络举报平台，违法行为情节严重的水利生产经营单位及其有关从业人员，安全生产事故应急预案</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《中华人民共和国安全生产法》《中华人民共和国政府信息公开条例》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郓城县人民政府水行政主管部门、流域管理机构及其他组织或企事业单位</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60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21</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监督管理</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“双随机一公开”监管</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随机抽查事项清单，抽查情况及查处结果</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《国务院办公厅关于推广随机抽查规范事中事后监管的通知》《水利部办公厅关于印发推行“双随机一公开”监管工作方案的通知》</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郓城县人民政府水行政主管部门、流域管理机构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16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22</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水旱灾害防御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水旱灾害防御</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防洪规划保留区，洪水预警信息、干旱预警信息</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《中华人民共和国防洪法》《水利部水旱灾害防御应急响应工作规程》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信息形成或者变更之日起20个工作日内，或按照行业有关规定</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0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23</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水旱灾害防御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水旱灾害防御</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山洪灾害预警信息</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《水利部水旱灾害防御应急响应工作规程》</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信息形成或者变更之日起20个工作日内，或按照行业有关规定</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县级人民政府水行政主管部门</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200"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24</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水旱灾害防御</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蓄滞洪区运用</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蓄滞洪区运用后的补偿对象、范围和标准</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《蓄滞洪区运用补偿暂行办法》</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县级人民政府及其水行政主管部门、乡镇人民政府</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4F6F8"/>
          <w:tblCellMar>
            <w:top w:w="15" w:type="dxa"/>
            <w:left w:w="15" w:type="dxa"/>
            <w:bottom w:w="15" w:type="dxa"/>
            <w:right w:w="15" w:type="dxa"/>
          </w:tblCellMar>
        </w:tblPrEx>
        <w:trPr>
          <w:trHeight w:val="2905" w:hRule="atLeast"/>
          <w:tblCellSpacing w:w="0" w:type="dxa"/>
        </w:trPr>
        <w:tc>
          <w:tcPr>
            <w:tcW w:w="433" w:type="dxa"/>
            <w:tcBorders>
              <w:top w:val="nil"/>
              <w:left w:val="single" w:color="000000" w:sz="8" w:space="0"/>
              <w:bottom w:val="single" w:color="000000" w:sz="8" w:space="0"/>
              <w:right w:val="single" w:color="000000" w:sz="8" w:space="0"/>
            </w:tcBorders>
            <w:shd w:val="clear" w:color="auto" w:fill="F4F6F8"/>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25</w:t>
            </w:r>
          </w:p>
        </w:tc>
        <w:tc>
          <w:tcPr>
            <w:tcW w:w="941"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水利科技</w:t>
            </w:r>
          </w:p>
        </w:tc>
        <w:tc>
          <w:tcPr>
            <w:tcW w:w="95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水利科技</w:t>
            </w:r>
          </w:p>
        </w:tc>
        <w:tc>
          <w:tcPr>
            <w:tcW w:w="2157"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面向基层需求的成熟适用水利科技成果信息及推广情况，水利科普工作开展情况</w:t>
            </w:r>
          </w:p>
        </w:tc>
        <w:tc>
          <w:tcPr>
            <w:tcW w:w="1733"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《中华人民共和国促进科技成果转化法》《关于新时代进一步加强科学技术普及工作的意见》《水利部、共青团中央、 中国科协关于加强水利科普工作的指导意见》</w:t>
            </w:r>
          </w:p>
        </w:tc>
        <w:tc>
          <w:tcPr>
            <w:tcW w:w="107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□政府网站    □政府公报</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□两微一端    □发布会/听证会                 </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□广播电视    □纸质媒体</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□公开查阅点  □政务服务中心</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□便民服务站  □入户/现场</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□社区/企事业单位/村公示栏（电子屏）</w:t>
            </w:r>
            <w:r>
              <w:rPr>
                <w:rFonts w:hint="eastAsia" w:ascii="宋体" w:hAnsi="宋体" w:eastAsia="宋体" w:cs="宋体"/>
                <w:i w:val="0"/>
                <w:iCs w:val="0"/>
                <w:caps w:val="0"/>
                <w:color w:val="000000"/>
                <w:spacing w:val="0"/>
                <w:kern w:val="0"/>
                <w:sz w:val="22"/>
                <w:szCs w:val="22"/>
                <w:bdr w:val="none" w:color="auto" w:sz="0" w:space="0"/>
                <w:lang w:val="en-US" w:eastAsia="zh-CN" w:bidi="ar"/>
              </w:rPr>
              <w:br w:type="textWrapping"/>
            </w:r>
            <w:r>
              <w:rPr>
                <w:rFonts w:hint="eastAsia" w:ascii="宋体" w:hAnsi="宋体" w:eastAsia="宋体" w:cs="宋体"/>
                <w:i w:val="0"/>
                <w:iCs w:val="0"/>
                <w:caps w:val="0"/>
                <w:color w:val="000000"/>
                <w:spacing w:val="0"/>
                <w:kern w:val="0"/>
                <w:sz w:val="22"/>
                <w:szCs w:val="22"/>
                <w:bdr w:val="none" w:color="auto" w:sz="0" w:space="0"/>
                <w:lang w:val="en-US" w:eastAsia="zh-CN" w:bidi="ar"/>
              </w:rPr>
              <w:t>□精准推送    ☑其他</w:t>
            </w:r>
          </w:p>
        </w:tc>
        <w:tc>
          <w:tcPr>
            <w:tcW w:w="584"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c>
          <w:tcPr>
            <w:tcW w:w="586"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w:t>
            </w:r>
          </w:p>
        </w:tc>
        <w:tc>
          <w:tcPr>
            <w:tcW w:w="519" w:type="dxa"/>
            <w:tcBorders>
              <w:top w:val="nil"/>
              <w:left w:val="nil"/>
              <w:bottom w:val="single" w:color="000000" w:sz="8" w:space="0"/>
              <w:right w:val="single" w:color="000000" w:sz="8" w:space="0"/>
            </w:tcBorders>
            <w:shd w:val="clear" w:color="auto" w:fill="F4F6F8"/>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kern w:val="0"/>
                <w:sz w:val="22"/>
                <w:szCs w:val="22"/>
                <w:bdr w:val="none" w:color="auto" w:sz="0" w:space="0"/>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lZTEzMmQ2N2M2NjhhZjViYzU4ZWVhNzcyNDdlMWQifQ=="/>
  </w:docVars>
  <w:rsids>
    <w:rsidRoot w:val="00000000"/>
    <w:rsid w:val="3BCD6245"/>
    <w:rsid w:val="4A874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5236</Words>
  <Characters>5275</Characters>
  <Lines>0</Lines>
  <Paragraphs>0</Paragraphs>
  <TotalTime>3</TotalTime>
  <ScaleCrop>false</ScaleCrop>
  <LinksUpToDate>false</LinksUpToDate>
  <CharactersWithSpaces>6245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2023-01-28T01:22:30Z</dcterms:created>
  <dc:creator>86155</dc:creator>
  <cp:lastModifiedBy>辰方</cp:lastModifiedBy>
  <dcterms:modified xsi:type="dcterms:W3CDTF">2023-01-28T01:26:02Z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08D4B3885AE14460839D2060B89D374A</vt:lpwstr>
  </property>
</Properties>
</file>