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医疗卫生机构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传染病防治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国家随机监督抽查工作计划表</w:t>
      </w:r>
    </w:p>
    <w:p>
      <w:pPr>
        <w:spacing w:line="294" w:lineRule="auto"/>
        <w:rPr>
          <w:rFonts w:hint="eastAsia" w:ascii="Arial" w:eastAsia="宋体"/>
          <w:sz w:val="21"/>
          <w:lang w:val="en-US" w:eastAsia="zh-CN"/>
        </w:rPr>
      </w:pPr>
    </w:p>
    <w:tbl>
      <w:tblPr>
        <w:tblStyle w:val="5"/>
        <w:tblW w:w="145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3353"/>
        <w:gridCol w:w="1262"/>
        <w:gridCol w:w="7318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监督检查对象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抽检比例</w:t>
            </w:r>
          </w:p>
        </w:tc>
        <w:tc>
          <w:tcPr>
            <w:tcW w:w="7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检查内容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1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二级以上医院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%</w:t>
            </w:r>
          </w:p>
        </w:tc>
        <w:tc>
          <w:tcPr>
            <w:tcW w:w="7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224" w:line="341" w:lineRule="auto"/>
              <w:ind w:right="18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  <w:t>预防接种管理情况 。接种单位和人员资质情况； 接种疫苗公示情况；接种前告知、询问受种者或监护人有关 情况；执行“三查七对一验证”情况；疫苗索证及冷链管理情 况；疫苗的接收、购进、储存、配送、供应、接种和处置工 作记录情况；免疫程序执行情况；异常反应监测、报告情况 等。其中承担免疫规划疫苗接种的单位重点检查百白破疫 苗、卡介苗、 乙肝疫苗、麻腮风疫苗、流脑疫苗相关情况。 承担非免疫规划疫苗接种的单位重点检查备案情况以及流 感疫苗、HPV 疫苗、狂犬疫苗等相关情况。</w:t>
            </w:r>
          </w:p>
          <w:p>
            <w:pPr>
              <w:pStyle w:val="3"/>
              <w:spacing w:before="56" w:line="310" w:lineRule="auto"/>
              <w:ind w:right="16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  <w:t>传染病疫情报告情况 。建立传染病疫情报告工作 制度情况；开展疫情报告管理自查情况；传染病疫情登记、 报告卡填写情况；传染病相关数据自动采集、传染病报告卡自动生成情况等；是否存在瞒报、缓报、谎报传染病疫情情况。</w:t>
            </w:r>
          </w:p>
          <w:p>
            <w:pPr>
              <w:pStyle w:val="3"/>
              <w:spacing w:before="39" w:line="310" w:lineRule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  <w:t>传染病疫情控制情况。建立预检、分诊制度情况； 按规定为传染病病人、疑似病人提供诊疗情况；消毒处理传 染病病原体污染的场所、物品、污水和医疗废物情况；依法 履行传染病监测职责情况；发现传染病疫情时，采取传染病 控制措施情况。</w:t>
            </w:r>
          </w:p>
          <w:p>
            <w:pPr>
              <w:pStyle w:val="3"/>
              <w:spacing w:before="235" w:line="330" w:lineRule="auto"/>
              <w:ind w:right="70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  <w:t>消毒隔离措施落实情况 。建立消毒管理组织、制 度情况；开展消毒与灭菌效果监测情况；消毒隔离知识培训 情况；消毒产品进货检查验收情况；医疗器械一人一用一消 毒或灭菌情况。二级以上医院以口腔科（诊疗中心）、 医学 美容科、血液透析室（诊疗中心）、手术室和内镜室（诊疗 中心）为检查重点，若无相关科室的，可根据情况自行选择 重点科室。一级医院和基层医疗机构以医院口腔科或口腔诊 所、医疗美容门诊部、血液透析中心为检查重点，若无相关 科室的，可根据情况自行选择重点科室。</w:t>
            </w:r>
          </w:p>
          <w:p>
            <w:pPr>
              <w:pStyle w:val="3"/>
              <w:spacing w:before="229" w:line="282" w:lineRule="auto"/>
              <w:ind w:right="72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5.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  <w:t>医疗废物处置情况 。 医疗废物分类收集情况；使 用专用包装物及容器情况； 医疗废物暂时贮存设施建立情 况；医疗废物交接、运送、暂存及处置情况。</w:t>
            </w:r>
          </w:p>
          <w:p>
            <w:pPr>
              <w:pStyle w:val="3"/>
              <w:spacing w:before="226" w:line="282" w:lineRule="auto"/>
              <w:ind w:right="70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6.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  <w:t>病原微生物实验室生物安全管理情况 。实验室取 得批准或进行备案情况；从事实验活动的人员培训、考核情 况；实验档案建立情况；实验结束将菌（毒）种或样本销毁或者送交保藏机构保藏情况。</w:t>
            </w:r>
          </w:p>
          <w:p>
            <w:pPr>
              <w:pStyle w:val="3"/>
              <w:spacing w:before="226" w:line="282" w:lineRule="auto"/>
              <w:ind w:right="70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7.监督抽检情况 。各地医疗机构传染病防治监督抽 检的数量不得低于年度国家随机监督抽查任务量的 5% 。抽 检项目根据上年度医疗机构消毒效果监测结果、医疗机构传 染病防治分类监督综合评价结果确定，包括但不限于环境空 气、物体表面、医务人员手、内镜、使用中消毒剂、治疗用 水、医疗污水等。</w:t>
            </w: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2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一级医院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%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7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3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基层医疗机构（社区卫生服务中心/站、诊所、乡镇卫生院、村卫生室等）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>5%</w:t>
            </w:r>
          </w:p>
        </w:tc>
        <w:tc>
          <w:tcPr>
            <w:tcW w:w="7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4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采供血机构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疾病预防控制机构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>40%</w:t>
            </w:r>
          </w:p>
        </w:tc>
        <w:tc>
          <w:tcPr>
            <w:tcW w:w="7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5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eastAsia="zh-CN"/>
              </w:rPr>
              <w:t>对传染病 医院（公共卫生临床中心）、上一年度传染病防治分类监督综合评价为重点监督单位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>100%</w:t>
            </w:r>
          </w:p>
        </w:tc>
        <w:tc>
          <w:tcPr>
            <w:tcW w:w="7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</w:tbl>
    <w:p>
      <w:pPr>
        <w:spacing w:line="295" w:lineRule="auto"/>
        <w:rPr>
          <w:rFonts w:hint="eastAsia" w:ascii="Arial" w:eastAsia="宋体"/>
          <w:sz w:val="21"/>
          <w:lang w:val="en-US" w:eastAsia="zh-CN"/>
        </w:rPr>
      </w:pPr>
    </w:p>
    <w:p>
      <w:pPr>
        <w:spacing w:line="295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pStyle w:val="3"/>
        <w:spacing w:before="123" w:line="222" w:lineRule="auto"/>
        <w:rPr>
          <w:sz w:val="20"/>
          <w:szCs w:val="20"/>
        </w:rPr>
      </w:pPr>
    </w:p>
    <w:p>
      <w:pPr>
        <w:tabs>
          <w:tab w:val="left" w:pos="3087"/>
        </w:tabs>
        <w:jc w:val="left"/>
        <w:rPr>
          <w:rFonts w:hint="eastAsia" w:eastAsia="宋体"/>
          <w:lang w:val="en-US" w:eastAsia="zh-CN"/>
        </w:rPr>
        <w:sectPr>
          <w:pgSz w:w="16839" w:h="11906" w:orient="landscape"/>
          <w:pgMar w:top="1440" w:right="1800" w:bottom="1440" w:left="1800" w:header="0" w:footer="0" w:gutter="0"/>
        </w:sect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pStyle w:val="3"/>
        <w:spacing w:before="123" w:line="222" w:lineRule="auto"/>
        <w:rPr>
          <w:sz w:val="20"/>
          <w:szCs w:val="20"/>
        </w:rPr>
      </w:pPr>
    </w:p>
    <w:sectPr>
      <w:pgSz w:w="16839" w:h="11906"/>
      <w:pgMar w:top="1012" w:right="1080" w:bottom="0" w:left="108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Times New Toman">
    <w:altName w:val="Times New Roman"/>
    <w:panose1 w:val="02020603050405020304"/>
    <w:charset w:val="00"/>
    <w:family w:val="modern"/>
    <w:pitch w:val="default"/>
    <w:sig w:usb0="00000000" w:usb1="00000000" w:usb2="00000008" w:usb3="00000000" w:csb0="0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iberation Sans">
    <w:altName w:val="微软雅黑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Toman">
    <w:altName w:val="Times New Roman"/>
    <w:panose1 w:val="02020603050405020304"/>
    <w:charset w:val="00"/>
    <w:family w:val="swiss"/>
    <w:pitch w:val="default"/>
    <w:sig w:usb0="00000000" w:usb1="00000000" w:usb2="00000008" w:usb3="00000000" w:csb0="0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200247B" w:usb2="00000009" w:usb3="00000000" w:csb0="200001FF" w:csb1="00000000"/>
  </w:font>
  <w:font w:name="Liberation Sans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 New Toman">
    <w:altName w:val="Times New Roman"/>
    <w:panose1 w:val="02020603050405020304"/>
    <w:charset w:val="00"/>
    <w:family w:val="decorative"/>
    <w:pitch w:val="default"/>
    <w:sig w:usb0="00000000" w:usb1="00000000" w:usb2="00000008" w:usb3="00000000" w:csb0="0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ans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Times New Toman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5053587B"/>
    <w:rsid w:val="6FBC2BEE"/>
    <w:rsid w:val="7BD468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3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2025-04-22T15:35:00Z</dcterms:created>
  <dc:creator>国家疾病预防控制中心,筹建组,王维夫02</dc:creator>
  <cp:lastModifiedBy>dell</cp:lastModifiedBy>
  <dcterms:modified xsi:type="dcterms:W3CDTF">2025-04-28T02:12:03Z</dcterms:modified>
  <dc:title>000001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2025-04-27T16:03:56Z</vt:filetime>
  </property>
  <property fmtid="{D5CDD505-2E9C-101B-9397-08002B2CF9AE}" pid="4" name="KSOProductBuildVer">
    <vt:lpwstr>2052-10.8.0.5562</vt:lpwstr>
  </property>
</Properties>
</file>