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3"/>
          <w:szCs w:val="33"/>
          <w:bdr w:val="none" w:color="auto" w:sz="0" w:space="0"/>
        </w:rPr>
        <w:t>郓城县"扶贫小额信贷"政策解读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一、贷款对象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1.全县精准识别出的符合条件的建档立卡贫困农户。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2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2.参与贫困村扶贫开发或与贫困农户结对帮扶，带动贫困农户脱贫的新型农业经营主体（专业大户、家庭农场、农民合作社、农业产业化龙头企业）。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二、贷款用途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1.贫困户贷款主要从事种植、养殖、农副产品加工、流通等农林牧副渔生产经营活动；从事运输、多种经营、农民专业合作组织和生产链带动下的农业规模化生产经营活动。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2.新型农业经营主体贷款主要用于发展林果、蔬菜、苗木种植、畜牧养殖、农副产品加工、生态旅游等能切实带动贫困农户增收的产业。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三、贷款条件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1.有致富意愿、有创收项目、有劳动能力、有贷款需求，同时遵纪守法，诚实守信的建档立卡贫困农户均可申请扶贫小额信贷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2.申请扶贫贷款的新型农业经营主体必须与县扶贫办签订扶贫责任书、与建档立卡贫困农户书面签订带动脱贫协议，有良好发展项目，无不良信用记录。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四、贷款方式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1.富民农户贷（贫困户贷款）无抵押、无担保、全额贴息。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2.富民生产贷（经营主体贷款）利息为基准利率上浮30%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92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五、贷款额度、期限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92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1.符合条件的贫困农户贷款额度起点为1000元，最高额为5万元（含）。期限一般为一年，特殊需要的经认定，最长不超过三年。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6" w:lineRule="atLeast"/>
        <w:ind w:left="0" w:right="0" w:firstLine="492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2.新型农业经营主体贷款额度根据提报的扶贫方案、按照每带动一户贫困户脱贫可获贷3-5万元的标准执行，最高额度为300万元。贷款期限一般不超过1年，特殊需要的经认定，最长不超过三年。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61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期待</cp:lastModifiedBy>
  <dcterms:modified xsi:type="dcterms:W3CDTF">2021-04-25T07:22:02Z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F50F362CCB1646D786D29FE2237D9501</vt:lpwstr>
  </property>
</Properties>
</file>